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B3E" w:rsidRPr="006D223F" w:rsidRDefault="00E56B3E" w:rsidP="006D223F">
      <w:pPr>
        <w:spacing w:line="480" w:lineRule="auto"/>
        <w:jc w:val="center"/>
        <w:rPr>
          <w:rFonts w:ascii="Times New Roman" w:hAnsi="Times New Roman" w:cs="Times New Roman"/>
          <w:sz w:val="24"/>
          <w:szCs w:val="24"/>
        </w:rPr>
      </w:pPr>
    </w:p>
    <w:p w:rsidR="00E56B3E" w:rsidRPr="006D223F" w:rsidRDefault="00E56B3E" w:rsidP="006D223F">
      <w:pPr>
        <w:spacing w:line="480" w:lineRule="auto"/>
        <w:jc w:val="center"/>
        <w:rPr>
          <w:rFonts w:ascii="Times New Roman" w:hAnsi="Times New Roman" w:cs="Times New Roman"/>
          <w:sz w:val="24"/>
          <w:szCs w:val="24"/>
        </w:rPr>
      </w:pPr>
    </w:p>
    <w:p w:rsidR="00E56B3E" w:rsidRPr="006D223F" w:rsidRDefault="00E56B3E" w:rsidP="006D223F">
      <w:pPr>
        <w:spacing w:line="480" w:lineRule="auto"/>
        <w:jc w:val="center"/>
        <w:rPr>
          <w:rFonts w:ascii="Times New Roman" w:hAnsi="Times New Roman" w:cs="Times New Roman"/>
          <w:sz w:val="24"/>
          <w:szCs w:val="24"/>
        </w:rPr>
      </w:pPr>
    </w:p>
    <w:p w:rsidR="00E56B3E" w:rsidRPr="006D223F" w:rsidRDefault="00E56B3E" w:rsidP="006D223F">
      <w:pPr>
        <w:spacing w:line="480" w:lineRule="auto"/>
        <w:jc w:val="center"/>
        <w:rPr>
          <w:rFonts w:ascii="Times New Roman" w:hAnsi="Times New Roman" w:cs="Times New Roman"/>
          <w:sz w:val="24"/>
          <w:szCs w:val="24"/>
        </w:rPr>
      </w:pPr>
    </w:p>
    <w:p w:rsidR="00246BE5" w:rsidRPr="006D223F" w:rsidRDefault="00E56B3E" w:rsidP="006D223F">
      <w:pPr>
        <w:spacing w:line="480" w:lineRule="auto"/>
        <w:jc w:val="center"/>
        <w:rPr>
          <w:rFonts w:ascii="Times New Roman" w:hAnsi="Times New Roman" w:cs="Times New Roman"/>
          <w:sz w:val="24"/>
          <w:szCs w:val="24"/>
        </w:rPr>
      </w:pPr>
      <w:r w:rsidRPr="006D223F">
        <w:rPr>
          <w:rFonts w:ascii="Times New Roman" w:hAnsi="Times New Roman" w:cs="Times New Roman"/>
          <w:sz w:val="24"/>
          <w:szCs w:val="24"/>
        </w:rPr>
        <w:t>Discussion on prosecution</w:t>
      </w:r>
    </w:p>
    <w:p w:rsidR="00246BE5" w:rsidRPr="006D223F" w:rsidRDefault="00246BE5" w:rsidP="006D223F">
      <w:pPr>
        <w:spacing w:line="480" w:lineRule="auto"/>
        <w:ind w:left="2880" w:firstLine="720"/>
        <w:rPr>
          <w:rFonts w:ascii="Times New Roman" w:hAnsi="Times New Roman" w:cs="Times New Roman"/>
          <w:sz w:val="24"/>
          <w:szCs w:val="24"/>
        </w:rPr>
      </w:pPr>
      <w:r w:rsidRPr="006D223F">
        <w:rPr>
          <w:rFonts w:ascii="Times New Roman" w:hAnsi="Times New Roman" w:cs="Times New Roman"/>
          <w:sz w:val="24"/>
          <w:szCs w:val="24"/>
        </w:rPr>
        <w:t>Students Name;</w:t>
      </w:r>
    </w:p>
    <w:p w:rsidR="00246BE5" w:rsidRPr="006D223F" w:rsidRDefault="00246BE5" w:rsidP="006D223F">
      <w:pPr>
        <w:spacing w:line="480" w:lineRule="auto"/>
        <w:ind w:left="2880" w:firstLine="720"/>
        <w:rPr>
          <w:rFonts w:ascii="Times New Roman" w:hAnsi="Times New Roman" w:cs="Times New Roman"/>
          <w:sz w:val="24"/>
          <w:szCs w:val="24"/>
        </w:rPr>
      </w:pPr>
      <w:r w:rsidRPr="006D223F">
        <w:rPr>
          <w:rFonts w:ascii="Times New Roman" w:hAnsi="Times New Roman" w:cs="Times New Roman"/>
          <w:sz w:val="24"/>
          <w:szCs w:val="24"/>
        </w:rPr>
        <w:t>Instructors Name:</w:t>
      </w:r>
    </w:p>
    <w:p w:rsidR="00246BE5" w:rsidRPr="006D223F" w:rsidRDefault="00246BE5" w:rsidP="006D223F">
      <w:pPr>
        <w:spacing w:line="480" w:lineRule="auto"/>
        <w:ind w:left="2880" w:firstLine="720"/>
        <w:rPr>
          <w:rFonts w:ascii="Times New Roman" w:hAnsi="Times New Roman" w:cs="Times New Roman"/>
          <w:sz w:val="24"/>
          <w:szCs w:val="24"/>
        </w:rPr>
      </w:pPr>
      <w:r w:rsidRPr="006D223F">
        <w:rPr>
          <w:rFonts w:ascii="Times New Roman" w:hAnsi="Times New Roman" w:cs="Times New Roman"/>
          <w:sz w:val="24"/>
          <w:szCs w:val="24"/>
        </w:rPr>
        <w:t>Course Taken:</w:t>
      </w:r>
    </w:p>
    <w:p w:rsidR="00246BE5" w:rsidRPr="006D223F" w:rsidRDefault="00246BE5" w:rsidP="006D223F">
      <w:pPr>
        <w:spacing w:line="480" w:lineRule="auto"/>
        <w:ind w:left="2880" w:firstLine="720"/>
        <w:rPr>
          <w:rFonts w:ascii="Times New Roman" w:hAnsi="Times New Roman" w:cs="Times New Roman"/>
          <w:sz w:val="24"/>
          <w:szCs w:val="24"/>
        </w:rPr>
      </w:pPr>
      <w:r w:rsidRPr="006D223F">
        <w:rPr>
          <w:rFonts w:ascii="Times New Roman" w:hAnsi="Times New Roman" w:cs="Times New Roman"/>
          <w:sz w:val="24"/>
          <w:szCs w:val="24"/>
        </w:rPr>
        <w:t>Date of Submission:</w:t>
      </w:r>
    </w:p>
    <w:p w:rsidR="00246BE5" w:rsidRPr="006D223F" w:rsidRDefault="00246BE5" w:rsidP="006D223F">
      <w:pPr>
        <w:spacing w:line="480" w:lineRule="auto"/>
        <w:ind w:firstLine="720"/>
        <w:jc w:val="center"/>
        <w:rPr>
          <w:rFonts w:ascii="Times New Roman" w:hAnsi="Times New Roman" w:cs="Times New Roman"/>
          <w:sz w:val="24"/>
          <w:szCs w:val="24"/>
        </w:rPr>
      </w:pPr>
    </w:p>
    <w:p w:rsidR="00246BE5" w:rsidRPr="006D223F" w:rsidRDefault="00246BE5" w:rsidP="006D223F">
      <w:pPr>
        <w:spacing w:line="480" w:lineRule="auto"/>
        <w:jc w:val="center"/>
        <w:rPr>
          <w:rFonts w:ascii="Times New Roman" w:hAnsi="Times New Roman" w:cs="Times New Roman"/>
          <w:sz w:val="24"/>
          <w:szCs w:val="24"/>
        </w:rPr>
      </w:pPr>
    </w:p>
    <w:p w:rsidR="00246BE5" w:rsidRPr="006D223F" w:rsidRDefault="00246BE5" w:rsidP="006D223F">
      <w:pPr>
        <w:spacing w:line="480" w:lineRule="auto"/>
        <w:jc w:val="center"/>
        <w:rPr>
          <w:rFonts w:ascii="Times New Roman" w:hAnsi="Times New Roman" w:cs="Times New Roman"/>
          <w:sz w:val="24"/>
          <w:szCs w:val="24"/>
        </w:rPr>
      </w:pPr>
    </w:p>
    <w:p w:rsidR="00246BE5" w:rsidRPr="006D223F" w:rsidRDefault="00246BE5" w:rsidP="006D223F">
      <w:pPr>
        <w:spacing w:line="480" w:lineRule="auto"/>
        <w:jc w:val="center"/>
        <w:rPr>
          <w:rFonts w:ascii="Times New Roman" w:hAnsi="Times New Roman" w:cs="Times New Roman"/>
          <w:sz w:val="24"/>
          <w:szCs w:val="24"/>
        </w:rPr>
      </w:pPr>
    </w:p>
    <w:p w:rsidR="00246BE5" w:rsidRPr="006D223F" w:rsidRDefault="00246BE5" w:rsidP="006D223F">
      <w:pPr>
        <w:spacing w:line="480" w:lineRule="auto"/>
        <w:jc w:val="center"/>
        <w:rPr>
          <w:rFonts w:ascii="Times New Roman" w:hAnsi="Times New Roman" w:cs="Times New Roman"/>
          <w:sz w:val="24"/>
          <w:szCs w:val="24"/>
        </w:rPr>
      </w:pPr>
    </w:p>
    <w:p w:rsidR="00246BE5" w:rsidRPr="006D223F" w:rsidRDefault="00246BE5" w:rsidP="006D223F">
      <w:pPr>
        <w:spacing w:line="480" w:lineRule="auto"/>
        <w:jc w:val="center"/>
        <w:rPr>
          <w:rFonts w:ascii="Times New Roman" w:hAnsi="Times New Roman" w:cs="Times New Roman"/>
          <w:sz w:val="24"/>
          <w:szCs w:val="24"/>
        </w:rPr>
      </w:pPr>
    </w:p>
    <w:p w:rsidR="00246BE5" w:rsidRPr="006D223F" w:rsidRDefault="00246BE5" w:rsidP="006D223F">
      <w:pPr>
        <w:spacing w:line="480" w:lineRule="auto"/>
        <w:jc w:val="center"/>
        <w:rPr>
          <w:rFonts w:ascii="Times New Roman" w:hAnsi="Times New Roman" w:cs="Times New Roman"/>
          <w:sz w:val="24"/>
          <w:szCs w:val="24"/>
        </w:rPr>
      </w:pPr>
    </w:p>
    <w:p w:rsidR="00246BE5" w:rsidRPr="006D223F" w:rsidRDefault="002C5F02" w:rsidP="006D223F">
      <w:pPr>
        <w:tabs>
          <w:tab w:val="left" w:pos="5390"/>
        </w:tabs>
        <w:spacing w:line="480" w:lineRule="auto"/>
        <w:rPr>
          <w:rFonts w:ascii="Times New Roman" w:hAnsi="Times New Roman" w:cs="Times New Roman"/>
          <w:sz w:val="24"/>
          <w:szCs w:val="24"/>
        </w:rPr>
      </w:pPr>
      <w:r w:rsidRPr="006D223F">
        <w:rPr>
          <w:rFonts w:ascii="Times New Roman" w:hAnsi="Times New Roman" w:cs="Times New Roman"/>
          <w:sz w:val="24"/>
          <w:szCs w:val="24"/>
        </w:rPr>
        <w:tab/>
      </w:r>
    </w:p>
    <w:p w:rsidR="00246BE5" w:rsidRPr="006D223F" w:rsidRDefault="00246BE5" w:rsidP="006D223F">
      <w:pPr>
        <w:spacing w:line="480" w:lineRule="auto"/>
        <w:rPr>
          <w:rFonts w:ascii="Times New Roman" w:hAnsi="Times New Roman" w:cs="Times New Roman"/>
          <w:sz w:val="24"/>
          <w:szCs w:val="24"/>
        </w:rPr>
      </w:pPr>
    </w:p>
    <w:p w:rsidR="00246BE5" w:rsidRPr="006D223F" w:rsidRDefault="00246BE5" w:rsidP="006D223F">
      <w:pPr>
        <w:spacing w:line="480" w:lineRule="auto"/>
        <w:rPr>
          <w:rFonts w:ascii="Times New Roman" w:hAnsi="Times New Roman" w:cs="Times New Roman"/>
          <w:b/>
          <w:sz w:val="24"/>
          <w:szCs w:val="24"/>
        </w:rPr>
      </w:pPr>
      <w:r w:rsidRPr="006D223F">
        <w:rPr>
          <w:rFonts w:ascii="Times New Roman" w:hAnsi="Times New Roman" w:cs="Times New Roman"/>
          <w:b/>
          <w:sz w:val="24"/>
          <w:szCs w:val="24"/>
        </w:rPr>
        <w:lastRenderedPageBreak/>
        <w:t xml:space="preserve">Introduction </w:t>
      </w:r>
    </w:p>
    <w:p w:rsidR="00246BE5" w:rsidRPr="006D223F" w:rsidRDefault="00246BE5" w:rsidP="006D223F">
      <w:pPr>
        <w:spacing w:line="480" w:lineRule="auto"/>
        <w:ind w:firstLine="720"/>
        <w:rPr>
          <w:rFonts w:ascii="Times New Roman" w:hAnsi="Times New Roman" w:cs="Times New Roman"/>
          <w:sz w:val="24"/>
          <w:szCs w:val="24"/>
        </w:rPr>
      </w:pPr>
      <w:r w:rsidRPr="006D223F">
        <w:rPr>
          <w:rFonts w:ascii="Times New Roman" w:hAnsi="Times New Roman" w:cs="Times New Roman"/>
          <w:sz w:val="24"/>
          <w:szCs w:val="24"/>
        </w:rPr>
        <w:t xml:space="preserve">The prosecution is that act of staging a trial on a person accused of a crime to confirm if they are guilty or not. It is a legal process that takes place in a court and a lawyer is a person mandated to go about with the prosecution (Said &amp; </w:t>
      </w:r>
      <w:proofErr w:type="spellStart"/>
      <w:r w:rsidRPr="006D223F">
        <w:rPr>
          <w:rFonts w:ascii="Times New Roman" w:hAnsi="Times New Roman" w:cs="Times New Roman"/>
          <w:sz w:val="24"/>
          <w:szCs w:val="24"/>
        </w:rPr>
        <w:t>Saʻīd</w:t>
      </w:r>
      <w:proofErr w:type="spellEnd"/>
      <w:r w:rsidR="006D223F" w:rsidRPr="006D223F">
        <w:rPr>
          <w:rFonts w:ascii="Times New Roman" w:hAnsi="Times New Roman" w:cs="Times New Roman"/>
          <w:sz w:val="24"/>
          <w:szCs w:val="24"/>
        </w:rPr>
        <w:t>, 2015</w:t>
      </w:r>
      <w:r w:rsidRPr="006D223F">
        <w:rPr>
          <w:rFonts w:ascii="Times New Roman" w:hAnsi="Times New Roman" w:cs="Times New Roman"/>
          <w:sz w:val="24"/>
          <w:szCs w:val="24"/>
        </w:rPr>
        <w:t>). Many issues and questions revolve around prosecution and a talk about that reveals interesting information. The prosecution process might involve a wide range of people from court staffs to investigators. For ease of handling cases that might be complex and long, there is a provided prosecution that is ought to be followed by prosecutors.</w:t>
      </w:r>
    </w:p>
    <w:p w:rsidR="00246BE5" w:rsidRPr="006D223F" w:rsidRDefault="00246BE5" w:rsidP="006D223F">
      <w:pPr>
        <w:spacing w:line="480" w:lineRule="auto"/>
        <w:rPr>
          <w:rFonts w:ascii="Times New Roman" w:hAnsi="Times New Roman" w:cs="Times New Roman"/>
          <w:b/>
          <w:sz w:val="24"/>
          <w:szCs w:val="24"/>
        </w:rPr>
      </w:pPr>
      <w:r w:rsidRPr="006D223F">
        <w:rPr>
          <w:rFonts w:ascii="Times New Roman" w:hAnsi="Times New Roman" w:cs="Times New Roman"/>
          <w:b/>
          <w:sz w:val="24"/>
          <w:szCs w:val="24"/>
        </w:rPr>
        <w:t>Prosecution process.</w:t>
      </w:r>
    </w:p>
    <w:p w:rsidR="00246BE5" w:rsidRPr="006D223F" w:rsidRDefault="00246BE5" w:rsidP="006D223F">
      <w:pPr>
        <w:spacing w:line="480" w:lineRule="auto"/>
        <w:ind w:firstLine="720"/>
        <w:rPr>
          <w:rFonts w:ascii="Times New Roman" w:hAnsi="Times New Roman" w:cs="Times New Roman"/>
          <w:sz w:val="24"/>
          <w:szCs w:val="24"/>
        </w:rPr>
      </w:pPr>
      <w:r w:rsidRPr="006D223F">
        <w:rPr>
          <w:rFonts w:ascii="Times New Roman" w:hAnsi="Times New Roman" w:cs="Times New Roman"/>
          <w:sz w:val="24"/>
          <w:szCs w:val="24"/>
        </w:rPr>
        <w:t>The investigation is conducted by investigators who engage witnesses to obtain statements. Other relevant evidence concerning an issue being handled is obtained at this point. Victims and people present at the scene of incidences are always the witnesses. On getting enough evidence the investigator compiles a brief which entails physical evidence like images, recordings, or statements to the CDPP (Stenning &amp; Hill, 2018). The investigator is then taken for an informant.</w:t>
      </w:r>
    </w:p>
    <w:p w:rsidR="00246BE5" w:rsidRPr="006D223F" w:rsidRDefault="00246BE5" w:rsidP="006D223F">
      <w:pPr>
        <w:spacing w:line="480" w:lineRule="auto"/>
        <w:ind w:firstLine="720"/>
        <w:rPr>
          <w:rFonts w:ascii="Times New Roman" w:hAnsi="Times New Roman" w:cs="Times New Roman"/>
          <w:sz w:val="24"/>
          <w:szCs w:val="24"/>
        </w:rPr>
      </w:pPr>
      <w:r w:rsidRPr="006D223F">
        <w:rPr>
          <w:rFonts w:ascii="Times New Roman" w:hAnsi="Times New Roman" w:cs="Times New Roman"/>
          <w:sz w:val="24"/>
          <w:szCs w:val="24"/>
        </w:rPr>
        <w:t>There follows an assessment of the brief following given policies. A decision is then reached on whether to prosecute or not. It is based on whether the case is of public interest or with the possibility of obtaining a conviction. In instances where charges get laid before referring the case to CDPP, it's the mandate of CDPP to give a direction on what happens and how the issue is to proceed.</w:t>
      </w:r>
    </w:p>
    <w:p w:rsidR="00246BE5" w:rsidRPr="006D223F" w:rsidRDefault="00246BE5" w:rsidP="006D223F">
      <w:pPr>
        <w:spacing w:line="480" w:lineRule="auto"/>
        <w:ind w:firstLine="720"/>
        <w:rPr>
          <w:rFonts w:ascii="Times New Roman" w:hAnsi="Times New Roman" w:cs="Times New Roman"/>
          <w:sz w:val="24"/>
          <w:szCs w:val="24"/>
        </w:rPr>
      </w:pPr>
      <w:r w:rsidRPr="006D223F">
        <w:rPr>
          <w:rFonts w:ascii="Times New Roman" w:hAnsi="Times New Roman" w:cs="Times New Roman"/>
          <w:sz w:val="24"/>
          <w:szCs w:val="24"/>
        </w:rPr>
        <w:t xml:space="preserve">If the assessment of the brief resolves in the commencement of a proceeding, notifications are sent to defendants on their charges and dates required to attend the court </w:t>
      </w:r>
      <w:r w:rsidRPr="006D223F">
        <w:rPr>
          <w:rFonts w:ascii="Times New Roman" w:hAnsi="Times New Roman" w:cs="Times New Roman"/>
          <w:sz w:val="24"/>
          <w:szCs w:val="24"/>
        </w:rPr>
        <w:lastRenderedPageBreak/>
        <w:t>specified. Three levels of courts can hear criminal charges basing on the case seriousness (Hahn, 2015). There is the local/magistrate court for simple offenses, supreme and high court. The defendant appears on provided for mention where they may request to seek legal advice, plead guilty, or not guilty. If they agree to the offense the magistrate sentences them or refers them to the high court. He uses agreed statements as witnesses aren't allowed in at such a point. When pleaded not guilty a hearing is set in a higher court at a later date. The magistrate is additionally allowed to discharge the defendant citing insufficient evidence.</w:t>
      </w:r>
    </w:p>
    <w:p w:rsidR="00246BE5" w:rsidRPr="006D223F" w:rsidRDefault="00246BE5" w:rsidP="006D223F">
      <w:pPr>
        <w:spacing w:line="480" w:lineRule="auto"/>
        <w:ind w:firstLine="720"/>
        <w:rPr>
          <w:rFonts w:ascii="Times New Roman" w:hAnsi="Times New Roman" w:cs="Times New Roman"/>
          <w:sz w:val="24"/>
          <w:szCs w:val="24"/>
        </w:rPr>
      </w:pPr>
      <w:r w:rsidRPr="006D223F">
        <w:rPr>
          <w:rFonts w:ascii="Times New Roman" w:hAnsi="Times New Roman" w:cs="Times New Roman"/>
          <w:sz w:val="24"/>
          <w:szCs w:val="24"/>
        </w:rPr>
        <w:t>The hearing at the provided date in the local court where the magistrate makes all judgments. Witnesses give their evidence during the hearing and the case is proved beyond doubts. Magistrate then gives the final verdict. If guilty, a sentence is pronounced, or a later date for sentencing is given. When the verdict proves not guilt, the case is dismissed.</w:t>
      </w:r>
    </w:p>
    <w:p w:rsidR="00246BE5" w:rsidRPr="006D223F" w:rsidRDefault="00246BE5" w:rsidP="006D223F">
      <w:pPr>
        <w:spacing w:line="480" w:lineRule="auto"/>
        <w:ind w:firstLine="720"/>
        <w:rPr>
          <w:rFonts w:ascii="Times New Roman" w:hAnsi="Times New Roman" w:cs="Times New Roman"/>
          <w:sz w:val="24"/>
          <w:szCs w:val="24"/>
        </w:rPr>
      </w:pPr>
      <w:r w:rsidRPr="006D223F">
        <w:rPr>
          <w:rFonts w:ascii="Times New Roman" w:hAnsi="Times New Roman" w:cs="Times New Roman"/>
          <w:sz w:val="24"/>
          <w:szCs w:val="24"/>
        </w:rPr>
        <w:t>Lastly, on the prosecution, the defendant is booked for trial at a court level basing on the seriousness of the matter. When sent to Supreme Court a predicament accompanied entailing the offenses charged to the defendant (Mignone et al.</w:t>
      </w:r>
      <w:r w:rsidR="006D223F" w:rsidRPr="006D223F">
        <w:rPr>
          <w:rFonts w:ascii="Times New Roman" w:hAnsi="Times New Roman" w:cs="Times New Roman"/>
          <w:sz w:val="24"/>
          <w:szCs w:val="24"/>
        </w:rPr>
        <w:t>, 2015</w:t>
      </w:r>
      <w:r w:rsidRPr="006D223F">
        <w:rPr>
          <w:rFonts w:ascii="Times New Roman" w:hAnsi="Times New Roman" w:cs="Times New Roman"/>
          <w:sz w:val="24"/>
          <w:szCs w:val="24"/>
        </w:rPr>
        <w:t>). Witnesses support their part during trial alongside other evidence. If found guilty a sentence is given which may be home detention, fine among others. Appeals by the convicted are allowed where they request another court to check a decision made by the lower court.</w:t>
      </w:r>
    </w:p>
    <w:p w:rsidR="00246BE5" w:rsidRPr="006D223F" w:rsidRDefault="00246BE5" w:rsidP="006D223F">
      <w:pPr>
        <w:spacing w:line="480" w:lineRule="auto"/>
        <w:rPr>
          <w:rFonts w:ascii="Times New Roman" w:hAnsi="Times New Roman" w:cs="Times New Roman"/>
          <w:b/>
          <w:sz w:val="24"/>
          <w:szCs w:val="24"/>
        </w:rPr>
      </w:pPr>
      <w:r w:rsidRPr="006D223F">
        <w:rPr>
          <w:rFonts w:ascii="Times New Roman" w:hAnsi="Times New Roman" w:cs="Times New Roman"/>
          <w:b/>
          <w:sz w:val="24"/>
          <w:szCs w:val="24"/>
        </w:rPr>
        <w:t>Full discretion and managed discretion.</w:t>
      </w:r>
    </w:p>
    <w:p w:rsidR="00246BE5" w:rsidRPr="006D223F" w:rsidRDefault="00246BE5" w:rsidP="006D223F">
      <w:pPr>
        <w:spacing w:line="480" w:lineRule="auto"/>
        <w:ind w:firstLine="720"/>
        <w:rPr>
          <w:rFonts w:ascii="Times New Roman" w:hAnsi="Times New Roman" w:cs="Times New Roman"/>
          <w:sz w:val="24"/>
          <w:szCs w:val="24"/>
        </w:rPr>
      </w:pPr>
      <w:r w:rsidRPr="006D223F">
        <w:rPr>
          <w:rFonts w:ascii="Times New Roman" w:hAnsi="Times New Roman" w:cs="Times New Roman"/>
          <w:sz w:val="24"/>
          <w:szCs w:val="24"/>
        </w:rPr>
        <w:t xml:space="preserve">Discretion in prosecution is that authority given to an officer in deciding chargers or handling of a case. Any officer who goes against the authority works against discretion. With full discretion, freedom is left to the officer to do anything they wish to do with a case (Paulsen, 2017). Managed discretion on the other hand has limits. The officer is forced to follow set </w:t>
      </w:r>
      <w:r w:rsidRPr="006D223F">
        <w:rPr>
          <w:rFonts w:ascii="Times New Roman" w:hAnsi="Times New Roman" w:cs="Times New Roman"/>
          <w:sz w:val="24"/>
          <w:szCs w:val="24"/>
        </w:rPr>
        <w:lastRenderedPageBreak/>
        <w:t>directions even when it seems against what the verdict would be. Managed discretion takes into consideration issues of law, social, and cultural issues amongst other things. The discretion gives room for biasness and it's always not called for. An example of discretion is if evidence shows that the killing was in self-defense and the prosecutor charges for manslaughter instead of murder.</w:t>
      </w:r>
    </w:p>
    <w:p w:rsidR="00246BE5" w:rsidRPr="006D223F" w:rsidRDefault="00246BE5" w:rsidP="006D223F">
      <w:pPr>
        <w:spacing w:line="480" w:lineRule="auto"/>
        <w:jc w:val="center"/>
        <w:rPr>
          <w:rFonts w:ascii="Times New Roman" w:hAnsi="Times New Roman" w:cs="Times New Roman"/>
          <w:sz w:val="24"/>
          <w:szCs w:val="24"/>
        </w:rPr>
      </w:pPr>
    </w:p>
    <w:p w:rsidR="00296F4E" w:rsidRPr="006D223F" w:rsidRDefault="00296F4E" w:rsidP="006D223F">
      <w:pPr>
        <w:spacing w:line="480" w:lineRule="auto"/>
        <w:jc w:val="center"/>
        <w:rPr>
          <w:rFonts w:ascii="Times New Roman" w:hAnsi="Times New Roman" w:cs="Times New Roman"/>
          <w:sz w:val="24"/>
          <w:szCs w:val="24"/>
        </w:rPr>
      </w:pPr>
    </w:p>
    <w:p w:rsidR="00246BE5" w:rsidRPr="006D223F" w:rsidRDefault="00246BE5" w:rsidP="006D223F">
      <w:pPr>
        <w:spacing w:line="480" w:lineRule="auto"/>
        <w:jc w:val="center"/>
        <w:rPr>
          <w:rFonts w:ascii="Times New Roman" w:hAnsi="Times New Roman" w:cs="Times New Roman"/>
          <w:sz w:val="24"/>
          <w:szCs w:val="24"/>
        </w:rPr>
      </w:pPr>
    </w:p>
    <w:p w:rsidR="00246BE5" w:rsidRPr="006D223F" w:rsidRDefault="00246BE5" w:rsidP="006D223F">
      <w:pPr>
        <w:spacing w:line="480" w:lineRule="auto"/>
        <w:jc w:val="center"/>
        <w:rPr>
          <w:rFonts w:ascii="Times New Roman" w:hAnsi="Times New Roman" w:cs="Times New Roman"/>
          <w:sz w:val="24"/>
          <w:szCs w:val="24"/>
        </w:rPr>
      </w:pPr>
    </w:p>
    <w:p w:rsidR="00246BE5" w:rsidRPr="006D223F" w:rsidRDefault="00246BE5" w:rsidP="006D223F">
      <w:pPr>
        <w:spacing w:line="480" w:lineRule="auto"/>
        <w:jc w:val="center"/>
        <w:rPr>
          <w:rFonts w:ascii="Times New Roman" w:hAnsi="Times New Roman" w:cs="Times New Roman"/>
          <w:sz w:val="24"/>
          <w:szCs w:val="24"/>
        </w:rPr>
      </w:pPr>
    </w:p>
    <w:p w:rsidR="00246BE5" w:rsidRDefault="00246BE5" w:rsidP="006D223F">
      <w:pPr>
        <w:spacing w:line="480" w:lineRule="auto"/>
        <w:jc w:val="center"/>
        <w:rPr>
          <w:rFonts w:ascii="Times New Roman" w:hAnsi="Times New Roman" w:cs="Times New Roman"/>
          <w:sz w:val="24"/>
          <w:szCs w:val="24"/>
        </w:rPr>
      </w:pPr>
    </w:p>
    <w:p w:rsidR="006D223F" w:rsidRDefault="006D223F" w:rsidP="006D223F">
      <w:pPr>
        <w:spacing w:line="480" w:lineRule="auto"/>
        <w:jc w:val="center"/>
        <w:rPr>
          <w:rFonts w:ascii="Times New Roman" w:hAnsi="Times New Roman" w:cs="Times New Roman"/>
          <w:sz w:val="24"/>
          <w:szCs w:val="24"/>
        </w:rPr>
      </w:pPr>
    </w:p>
    <w:p w:rsidR="006D223F" w:rsidRDefault="006D223F" w:rsidP="006D223F">
      <w:pPr>
        <w:spacing w:line="480" w:lineRule="auto"/>
        <w:jc w:val="center"/>
        <w:rPr>
          <w:rFonts w:ascii="Times New Roman" w:hAnsi="Times New Roman" w:cs="Times New Roman"/>
          <w:sz w:val="24"/>
          <w:szCs w:val="24"/>
        </w:rPr>
      </w:pPr>
    </w:p>
    <w:p w:rsidR="006D223F" w:rsidRDefault="006D223F" w:rsidP="006D223F">
      <w:pPr>
        <w:spacing w:line="480" w:lineRule="auto"/>
        <w:jc w:val="center"/>
        <w:rPr>
          <w:rFonts w:ascii="Times New Roman" w:hAnsi="Times New Roman" w:cs="Times New Roman"/>
          <w:sz w:val="24"/>
          <w:szCs w:val="24"/>
        </w:rPr>
      </w:pPr>
    </w:p>
    <w:p w:rsidR="006D223F" w:rsidRDefault="006D223F" w:rsidP="006D223F">
      <w:pPr>
        <w:spacing w:line="480" w:lineRule="auto"/>
        <w:jc w:val="center"/>
        <w:rPr>
          <w:rFonts w:ascii="Times New Roman" w:hAnsi="Times New Roman" w:cs="Times New Roman"/>
          <w:sz w:val="24"/>
          <w:szCs w:val="24"/>
        </w:rPr>
      </w:pPr>
    </w:p>
    <w:p w:rsidR="006D223F" w:rsidRDefault="006D223F" w:rsidP="006D223F">
      <w:pPr>
        <w:spacing w:line="480" w:lineRule="auto"/>
        <w:jc w:val="center"/>
        <w:rPr>
          <w:rFonts w:ascii="Times New Roman" w:hAnsi="Times New Roman" w:cs="Times New Roman"/>
          <w:sz w:val="24"/>
          <w:szCs w:val="24"/>
        </w:rPr>
      </w:pPr>
    </w:p>
    <w:p w:rsidR="006D223F" w:rsidRDefault="006D223F" w:rsidP="006D223F">
      <w:pPr>
        <w:spacing w:line="480" w:lineRule="auto"/>
        <w:jc w:val="center"/>
        <w:rPr>
          <w:rFonts w:ascii="Times New Roman" w:hAnsi="Times New Roman" w:cs="Times New Roman"/>
          <w:sz w:val="24"/>
          <w:szCs w:val="24"/>
        </w:rPr>
      </w:pPr>
    </w:p>
    <w:p w:rsidR="006D223F" w:rsidRPr="006D223F" w:rsidRDefault="006D223F" w:rsidP="006D223F">
      <w:pPr>
        <w:spacing w:line="480" w:lineRule="auto"/>
        <w:jc w:val="center"/>
        <w:rPr>
          <w:rFonts w:ascii="Times New Roman" w:hAnsi="Times New Roman" w:cs="Times New Roman"/>
          <w:sz w:val="24"/>
          <w:szCs w:val="24"/>
        </w:rPr>
      </w:pPr>
      <w:bookmarkStart w:id="0" w:name="_GoBack"/>
      <w:bookmarkEnd w:id="0"/>
    </w:p>
    <w:p w:rsidR="00246BE5" w:rsidRPr="006D223F" w:rsidRDefault="00246BE5" w:rsidP="006D223F">
      <w:pPr>
        <w:spacing w:line="480" w:lineRule="auto"/>
        <w:jc w:val="center"/>
        <w:rPr>
          <w:rFonts w:ascii="Times New Roman" w:hAnsi="Times New Roman" w:cs="Times New Roman"/>
          <w:sz w:val="24"/>
          <w:szCs w:val="24"/>
        </w:rPr>
      </w:pPr>
    </w:p>
    <w:p w:rsidR="0016246D" w:rsidRPr="006D223F" w:rsidRDefault="00415D25" w:rsidP="006D223F">
      <w:pPr>
        <w:spacing w:line="480" w:lineRule="auto"/>
        <w:jc w:val="center"/>
        <w:rPr>
          <w:rFonts w:ascii="Times New Roman" w:hAnsi="Times New Roman" w:cs="Times New Roman"/>
          <w:b/>
          <w:sz w:val="24"/>
          <w:szCs w:val="24"/>
        </w:rPr>
      </w:pPr>
      <w:r w:rsidRPr="006D223F">
        <w:rPr>
          <w:rFonts w:ascii="Times New Roman" w:hAnsi="Times New Roman" w:cs="Times New Roman"/>
          <w:b/>
          <w:sz w:val="24"/>
          <w:szCs w:val="24"/>
        </w:rPr>
        <w:lastRenderedPageBreak/>
        <w:t>References</w:t>
      </w:r>
    </w:p>
    <w:p w:rsidR="00D06C42" w:rsidRPr="006D223F" w:rsidRDefault="00D06C42" w:rsidP="006D223F">
      <w:pPr>
        <w:spacing w:line="480" w:lineRule="auto"/>
        <w:ind w:left="720" w:hanging="720"/>
        <w:rPr>
          <w:rFonts w:ascii="Times New Roman" w:hAnsi="Times New Roman" w:cs="Times New Roman"/>
          <w:sz w:val="24"/>
          <w:szCs w:val="24"/>
        </w:rPr>
      </w:pPr>
      <w:r w:rsidRPr="006D223F">
        <w:rPr>
          <w:rFonts w:ascii="Times New Roman" w:hAnsi="Times New Roman" w:cs="Times New Roman"/>
          <w:color w:val="222222"/>
          <w:sz w:val="24"/>
          <w:szCs w:val="24"/>
          <w:shd w:val="clear" w:color="auto" w:fill="FFFFFF"/>
        </w:rPr>
        <w:t>Hahn, J. (2015). Commencement address. </w:t>
      </w:r>
      <w:r w:rsidRPr="006D223F">
        <w:rPr>
          <w:rFonts w:ascii="Times New Roman" w:hAnsi="Times New Roman" w:cs="Times New Roman"/>
          <w:i/>
          <w:iCs/>
          <w:color w:val="222222"/>
          <w:sz w:val="24"/>
          <w:szCs w:val="24"/>
          <w:shd w:val="clear" w:color="auto" w:fill="FFFFFF"/>
        </w:rPr>
        <w:t xml:space="preserve">J. Legal </w:t>
      </w:r>
      <w:proofErr w:type="spellStart"/>
      <w:r w:rsidRPr="006D223F">
        <w:rPr>
          <w:rFonts w:ascii="Times New Roman" w:hAnsi="Times New Roman" w:cs="Times New Roman"/>
          <w:i/>
          <w:iCs/>
          <w:color w:val="222222"/>
          <w:sz w:val="24"/>
          <w:szCs w:val="24"/>
          <w:shd w:val="clear" w:color="auto" w:fill="FFFFFF"/>
        </w:rPr>
        <w:t>Advoc</w:t>
      </w:r>
      <w:proofErr w:type="spellEnd"/>
      <w:r w:rsidRPr="006D223F">
        <w:rPr>
          <w:rFonts w:ascii="Times New Roman" w:hAnsi="Times New Roman" w:cs="Times New Roman"/>
          <w:i/>
          <w:iCs/>
          <w:color w:val="222222"/>
          <w:sz w:val="24"/>
          <w:szCs w:val="24"/>
          <w:shd w:val="clear" w:color="auto" w:fill="FFFFFF"/>
        </w:rPr>
        <w:t xml:space="preserve">. &amp; </w:t>
      </w:r>
      <w:proofErr w:type="spellStart"/>
      <w:proofErr w:type="gramStart"/>
      <w:r w:rsidRPr="006D223F">
        <w:rPr>
          <w:rFonts w:ascii="Times New Roman" w:hAnsi="Times New Roman" w:cs="Times New Roman"/>
          <w:i/>
          <w:iCs/>
          <w:color w:val="222222"/>
          <w:sz w:val="24"/>
          <w:szCs w:val="24"/>
          <w:shd w:val="clear" w:color="auto" w:fill="FFFFFF"/>
        </w:rPr>
        <w:t>Prac</w:t>
      </w:r>
      <w:proofErr w:type="spellEnd"/>
      <w:r w:rsidRPr="006D223F">
        <w:rPr>
          <w:rFonts w:ascii="Times New Roman" w:hAnsi="Times New Roman" w:cs="Times New Roman"/>
          <w:i/>
          <w:iCs/>
          <w:color w:val="222222"/>
          <w:sz w:val="24"/>
          <w:szCs w:val="24"/>
          <w:shd w:val="clear" w:color="auto" w:fill="FFFFFF"/>
        </w:rPr>
        <w:t>.</w:t>
      </w:r>
      <w:r w:rsidRPr="006D223F">
        <w:rPr>
          <w:rFonts w:ascii="Times New Roman" w:hAnsi="Times New Roman" w:cs="Times New Roman"/>
          <w:color w:val="222222"/>
          <w:sz w:val="24"/>
          <w:szCs w:val="24"/>
          <w:shd w:val="clear" w:color="auto" w:fill="FFFFFF"/>
        </w:rPr>
        <w:t>,</w:t>
      </w:r>
      <w:proofErr w:type="gramEnd"/>
      <w:r w:rsidRPr="006D223F">
        <w:rPr>
          <w:rFonts w:ascii="Times New Roman" w:hAnsi="Times New Roman" w:cs="Times New Roman"/>
          <w:color w:val="222222"/>
          <w:sz w:val="24"/>
          <w:szCs w:val="24"/>
          <w:shd w:val="clear" w:color="auto" w:fill="FFFFFF"/>
        </w:rPr>
        <w:t> </w:t>
      </w:r>
      <w:r w:rsidRPr="006D223F">
        <w:rPr>
          <w:rFonts w:ascii="Times New Roman" w:hAnsi="Times New Roman" w:cs="Times New Roman"/>
          <w:i/>
          <w:iCs/>
          <w:color w:val="222222"/>
          <w:sz w:val="24"/>
          <w:szCs w:val="24"/>
          <w:shd w:val="clear" w:color="auto" w:fill="FFFFFF"/>
        </w:rPr>
        <w:t>2</w:t>
      </w:r>
      <w:r w:rsidRPr="006D223F">
        <w:rPr>
          <w:rFonts w:ascii="Times New Roman" w:hAnsi="Times New Roman" w:cs="Times New Roman"/>
          <w:color w:val="222222"/>
          <w:sz w:val="24"/>
          <w:szCs w:val="24"/>
          <w:shd w:val="clear" w:color="auto" w:fill="FFFFFF"/>
        </w:rPr>
        <w:t>, 1.</w:t>
      </w:r>
    </w:p>
    <w:p w:rsidR="006B404F" w:rsidRPr="006D223F" w:rsidRDefault="006B404F" w:rsidP="006D223F">
      <w:pPr>
        <w:spacing w:line="480" w:lineRule="auto"/>
        <w:ind w:left="720" w:hanging="720"/>
        <w:rPr>
          <w:rFonts w:ascii="Times New Roman" w:hAnsi="Times New Roman" w:cs="Times New Roman"/>
          <w:sz w:val="24"/>
          <w:szCs w:val="24"/>
        </w:rPr>
      </w:pPr>
      <w:r w:rsidRPr="006D223F">
        <w:rPr>
          <w:rFonts w:ascii="Times New Roman" w:hAnsi="Times New Roman" w:cs="Times New Roman"/>
          <w:color w:val="222222"/>
          <w:sz w:val="24"/>
          <w:szCs w:val="24"/>
          <w:shd w:val="clear" w:color="auto" w:fill="FFFFFF"/>
        </w:rPr>
        <w:t xml:space="preserve">Mignone, E. F., </w:t>
      </w:r>
      <w:proofErr w:type="spellStart"/>
      <w:r w:rsidRPr="006D223F">
        <w:rPr>
          <w:rFonts w:ascii="Times New Roman" w:hAnsi="Times New Roman" w:cs="Times New Roman"/>
          <w:color w:val="222222"/>
          <w:sz w:val="24"/>
          <w:szCs w:val="24"/>
          <w:shd w:val="clear" w:color="auto" w:fill="FFFFFF"/>
        </w:rPr>
        <w:t>Estlund</w:t>
      </w:r>
      <w:proofErr w:type="spellEnd"/>
      <w:r w:rsidRPr="006D223F">
        <w:rPr>
          <w:rFonts w:ascii="Times New Roman" w:hAnsi="Times New Roman" w:cs="Times New Roman"/>
          <w:color w:val="222222"/>
          <w:sz w:val="24"/>
          <w:szCs w:val="24"/>
          <w:shd w:val="clear" w:color="auto" w:fill="FFFFFF"/>
        </w:rPr>
        <w:t xml:space="preserve">, C. L., &amp; </w:t>
      </w:r>
      <w:proofErr w:type="spellStart"/>
      <w:r w:rsidRPr="006D223F">
        <w:rPr>
          <w:rFonts w:ascii="Times New Roman" w:hAnsi="Times New Roman" w:cs="Times New Roman"/>
          <w:color w:val="222222"/>
          <w:sz w:val="24"/>
          <w:szCs w:val="24"/>
          <w:shd w:val="clear" w:color="auto" w:fill="FFFFFF"/>
        </w:rPr>
        <w:t>Issacharoff</w:t>
      </w:r>
      <w:proofErr w:type="spellEnd"/>
      <w:r w:rsidRPr="006D223F">
        <w:rPr>
          <w:rFonts w:ascii="Times New Roman" w:hAnsi="Times New Roman" w:cs="Times New Roman"/>
          <w:color w:val="222222"/>
          <w:sz w:val="24"/>
          <w:szCs w:val="24"/>
          <w:shd w:val="clear" w:color="auto" w:fill="FFFFFF"/>
        </w:rPr>
        <w:t>, S. (2015). Dictatorship on Trial: Prosecution of Human Rights Violations in Argentina. </w:t>
      </w:r>
      <w:r w:rsidRPr="006D223F">
        <w:rPr>
          <w:rFonts w:ascii="Times New Roman" w:hAnsi="Times New Roman" w:cs="Times New Roman"/>
          <w:i/>
          <w:iCs/>
          <w:color w:val="222222"/>
          <w:sz w:val="24"/>
          <w:szCs w:val="24"/>
          <w:shd w:val="clear" w:color="auto" w:fill="FFFFFF"/>
        </w:rPr>
        <w:t>Yale J. Int'l L.</w:t>
      </w:r>
      <w:r w:rsidRPr="006D223F">
        <w:rPr>
          <w:rFonts w:ascii="Times New Roman" w:hAnsi="Times New Roman" w:cs="Times New Roman"/>
          <w:color w:val="222222"/>
          <w:sz w:val="24"/>
          <w:szCs w:val="24"/>
          <w:shd w:val="clear" w:color="auto" w:fill="FFFFFF"/>
        </w:rPr>
        <w:t>, </w:t>
      </w:r>
      <w:r w:rsidRPr="006D223F">
        <w:rPr>
          <w:rFonts w:ascii="Times New Roman" w:hAnsi="Times New Roman" w:cs="Times New Roman"/>
          <w:i/>
          <w:iCs/>
          <w:color w:val="222222"/>
          <w:sz w:val="24"/>
          <w:szCs w:val="24"/>
          <w:shd w:val="clear" w:color="auto" w:fill="FFFFFF"/>
        </w:rPr>
        <w:t>10</w:t>
      </w:r>
      <w:r w:rsidRPr="006D223F">
        <w:rPr>
          <w:rFonts w:ascii="Times New Roman" w:hAnsi="Times New Roman" w:cs="Times New Roman"/>
          <w:color w:val="222222"/>
          <w:sz w:val="24"/>
          <w:szCs w:val="24"/>
          <w:shd w:val="clear" w:color="auto" w:fill="FFFFFF"/>
        </w:rPr>
        <w:t>, 118.</w:t>
      </w:r>
    </w:p>
    <w:p w:rsidR="00BE4EEE" w:rsidRPr="006D223F" w:rsidRDefault="006B404F" w:rsidP="006D223F">
      <w:pPr>
        <w:spacing w:line="480" w:lineRule="auto"/>
        <w:ind w:left="720" w:hanging="720"/>
        <w:rPr>
          <w:rFonts w:ascii="Times New Roman" w:hAnsi="Times New Roman" w:cs="Times New Roman"/>
          <w:color w:val="222222"/>
          <w:sz w:val="24"/>
          <w:szCs w:val="24"/>
          <w:shd w:val="clear" w:color="auto" w:fill="FFFFFF"/>
        </w:rPr>
      </w:pPr>
      <w:r w:rsidRPr="006D223F">
        <w:rPr>
          <w:rFonts w:ascii="Times New Roman" w:hAnsi="Times New Roman" w:cs="Times New Roman"/>
          <w:color w:val="222222"/>
          <w:sz w:val="24"/>
          <w:szCs w:val="24"/>
          <w:shd w:val="clear" w:color="auto" w:fill="FFFFFF"/>
        </w:rPr>
        <w:t>Paulsen, E. (2017). Imposing Limits on Prosecutorial Discretion in Corporate Prosecution Agreements. </w:t>
      </w:r>
      <w:r w:rsidRPr="006D223F">
        <w:rPr>
          <w:rFonts w:ascii="Times New Roman" w:hAnsi="Times New Roman" w:cs="Times New Roman"/>
          <w:i/>
          <w:iCs/>
          <w:color w:val="222222"/>
          <w:sz w:val="24"/>
          <w:szCs w:val="24"/>
          <w:shd w:val="clear" w:color="auto" w:fill="FFFFFF"/>
        </w:rPr>
        <w:t>NYUL Rev.</w:t>
      </w:r>
      <w:r w:rsidRPr="006D223F">
        <w:rPr>
          <w:rFonts w:ascii="Times New Roman" w:hAnsi="Times New Roman" w:cs="Times New Roman"/>
          <w:color w:val="222222"/>
          <w:sz w:val="24"/>
          <w:szCs w:val="24"/>
          <w:shd w:val="clear" w:color="auto" w:fill="FFFFFF"/>
        </w:rPr>
        <w:t>, </w:t>
      </w:r>
      <w:r w:rsidRPr="006D223F">
        <w:rPr>
          <w:rFonts w:ascii="Times New Roman" w:hAnsi="Times New Roman" w:cs="Times New Roman"/>
          <w:i/>
          <w:iCs/>
          <w:color w:val="222222"/>
          <w:sz w:val="24"/>
          <w:szCs w:val="24"/>
          <w:shd w:val="clear" w:color="auto" w:fill="FFFFFF"/>
        </w:rPr>
        <w:t>82</w:t>
      </w:r>
      <w:r w:rsidRPr="006D223F">
        <w:rPr>
          <w:rFonts w:ascii="Times New Roman" w:hAnsi="Times New Roman" w:cs="Times New Roman"/>
          <w:color w:val="222222"/>
          <w:sz w:val="24"/>
          <w:szCs w:val="24"/>
          <w:shd w:val="clear" w:color="auto" w:fill="FFFFFF"/>
        </w:rPr>
        <w:t>, 1434.</w:t>
      </w:r>
    </w:p>
    <w:p w:rsidR="009878D8" w:rsidRPr="006D223F" w:rsidRDefault="009878D8" w:rsidP="006D223F">
      <w:pPr>
        <w:spacing w:line="480" w:lineRule="auto"/>
        <w:ind w:left="720" w:hanging="720"/>
        <w:rPr>
          <w:rFonts w:ascii="Times New Roman" w:hAnsi="Times New Roman" w:cs="Times New Roman"/>
          <w:color w:val="222222"/>
          <w:sz w:val="24"/>
          <w:szCs w:val="24"/>
          <w:shd w:val="clear" w:color="auto" w:fill="FFFFFF"/>
        </w:rPr>
      </w:pPr>
      <w:r w:rsidRPr="006D223F">
        <w:rPr>
          <w:rFonts w:ascii="Times New Roman" w:hAnsi="Times New Roman" w:cs="Times New Roman"/>
          <w:color w:val="222222"/>
          <w:sz w:val="24"/>
          <w:szCs w:val="24"/>
          <w:shd w:val="clear" w:color="auto" w:fill="FFFFFF"/>
        </w:rPr>
        <w:t xml:space="preserve">Said, W. E., &amp; </w:t>
      </w:r>
      <w:proofErr w:type="spellStart"/>
      <w:r w:rsidRPr="006D223F">
        <w:rPr>
          <w:rFonts w:ascii="Times New Roman" w:hAnsi="Times New Roman" w:cs="Times New Roman"/>
          <w:color w:val="222222"/>
          <w:sz w:val="24"/>
          <w:szCs w:val="24"/>
          <w:shd w:val="clear" w:color="auto" w:fill="FFFFFF"/>
        </w:rPr>
        <w:t>Saʻīd</w:t>
      </w:r>
      <w:proofErr w:type="spellEnd"/>
      <w:r w:rsidRPr="006D223F">
        <w:rPr>
          <w:rFonts w:ascii="Times New Roman" w:hAnsi="Times New Roman" w:cs="Times New Roman"/>
          <w:color w:val="222222"/>
          <w:sz w:val="24"/>
          <w:szCs w:val="24"/>
          <w:shd w:val="clear" w:color="auto" w:fill="FFFFFF"/>
        </w:rPr>
        <w:t>, W. (2015). </w:t>
      </w:r>
      <w:r w:rsidRPr="006D223F">
        <w:rPr>
          <w:rFonts w:ascii="Times New Roman" w:hAnsi="Times New Roman" w:cs="Times New Roman"/>
          <w:i/>
          <w:iCs/>
          <w:color w:val="222222"/>
          <w:sz w:val="24"/>
          <w:szCs w:val="24"/>
          <w:shd w:val="clear" w:color="auto" w:fill="FFFFFF"/>
        </w:rPr>
        <w:t>Crimes of terror: The legal and political implications of federal terrorism prosecutions</w:t>
      </w:r>
      <w:r w:rsidRPr="006D223F">
        <w:rPr>
          <w:rFonts w:ascii="Times New Roman" w:hAnsi="Times New Roman" w:cs="Times New Roman"/>
          <w:color w:val="222222"/>
          <w:sz w:val="24"/>
          <w:szCs w:val="24"/>
          <w:shd w:val="clear" w:color="auto" w:fill="FFFFFF"/>
        </w:rPr>
        <w:t>. Oxford University Press, USA.</w:t>
      </w:r>
    </w:p>
    <w:p w:rsidR="00E00A53" w:rsidRPr="006D223F" w:rsidRDefault="00E00A53" w:rsidP="006D223F">
      <w:pPr>
        <w:spacing w:line="480" w:lineRule="auto"/>
        <w:ind w:left="720" w:hanging="720"/>
        <w:rPr>
          <w:rFonts w:ascii="Times New Roman" w:hAnsi="Times New Roman" w:cs="Times New Roman"/>
          <w:sz w:val="24"/>
          <w:szCs w:val="24"/>
        </w:rPr>
      </w:pPr>
      <w:r w:rsidRPr="006D223F">
        <w:rPr>
          <w:rFonts w:ascii="Times New Roman" w:hAnsi="Times New Roman" w:cs="Times New Roman"/>
          <w:color w:val="222222"/>
          <w:sz w:val="24"/>
          <w:szCs w:val="24"/>
          <w:shd w:val="clear" w:color="auto" w:fill="FFFFFF"/>
        </w:rPr>
        <w:t>Stenning, P. C., &amp; Hill, R. S. (2018). </w:t>
      </w:r>
      <w:r w:rsidRPr="006D223F">
        <w:rPr>
          <w:rFonts w:ascii="Times New Roman" w:hAnsi="Times New Roman" w:cs="Times New Roman"/>
          <w:i/>
          <w:iCs/>
          <w:color w:val="222222"/>
          <w:sz w:val="24"/>
          <w:szCs w:val="24"/>
          <w:shd w:val="clear" w:color="auto" w:fill="FFFFFF"/>
        </w:rPr>
        <w:t>The modern prosecution process in New Zealand</w:t>
      </w:r>
      <w:r w:rsidRPr="006D223F">
        <w:rPr>
          <w:rFonts w:ascii="Times New Roman" w:hAnsi="Times New Roman" w:cs="Times New Roman"/>
          <w:color w:val="222222"/>
          <w:sz w:val="24"/>
          <w:szCs w:val="24"/>
          <w:shd w:val="clear" w:color="auto" w:fill="FFFFFF"/>
        </w:rPr>
        <w:t> (p. 16). Wellington: Victoria University Press.</w:t>
      </w:r>
    </w:p>
    <w:sectPr w:rsidR="00E00A53" w:rsidRPr="006D223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03D" w:rsidRDefault="0056003D" w:rsidP="002C5F02">
      <w:pPr>
        <w:spacing w:after="0" w:line="240" w:lineRule="auto"/>
      </w:pPr>
      <w:r>
        <w:separator/>
      </w:r>
    </w:p>
  </w:endnote>
  <w:endnote w:type="continuationSeparator" w:id="0">
    <w:p w:rsidR="0056003D" w:rsidRDefault="0056003D" w:rsidP="002C5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1603455"/>
      <w:docPartObj>
        <w:docPartGallery w:val="Page Numbers (Bottom of Page)"/>
        <w:docPartUnique/>
      </w:docPartObj>
    </w:sdtPr>
    <w:sdtEndPr>
      <w:rPr>
        <w:noProof/>
      </w:rPr>
    </w:sdtEndPr>
    <w:sdtContent>
      <w:p w:rsidR="002C5F02" w:rsidRDefault="002C5F02">
        <w:pPr>
          <w:pStyle w:val="Footer"/>
          <w:jc w:val="right"/>
        </w:pPr>
        <w:r>
          <w:fldChar w:fldCharType="begin"/>
        </w:r>
        <w:r>
          <w:instrText xml:space="preserve"> PAGE   \* MERGEFORMAT </w:instrText>
        </w:r>
        <w:r>
          <w:fldChar w:fldCharType="separate"/>
        </w:r>
        <w:r w:rsidR="006D223F">
          <w:rPr>
            <w:noProof/>
          </w:rPr>
          <w:t>5</w:t>
        </w:r>
        <w:r>
          <w:rPr>
            <w:noProof/>
          </w:rPr>
          <w:fldChar w:fldCharType="end"/>
        </w:r>
      </w:p>
    </w:sdtContent>
  </w:sdt>
  <w:p w:rsidR="002C5F02" w:rsidRDefault="002C5F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03D" w:rsidRDefault="0056003D" w:rsidP="002C5F02">
      <w:pPr>
        <w:spacing w:after="0" w:line="240" w:lineRule="auto"/>
      </w:pPr>
      <w:r>
        <w:separator/>
      </w:r>
    </w:p>
  </w:footnote>
  <w:footnote w:type="continuationSeparator" w:id="0">
    <w:p w:rsidR="0056003D" w:rsidRDefault="0056003D" w:rsidP="002C5F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3NTc2sjQ2Nbc0NDVT0lEKTi0uzszPAykwrAUAs6N55iwAAAA="/>
  </w:docVars>
  <w:rsids>
    <w:rsidRoot w:val="00415D25"/>
    <w:rsid w:val="00063F57"/>
    <w:rsid w:val="00246BE5"/>
    <w:rsid w:val="00296F4E"/>
    <w:rsid w:val="002C5F02"/>
    <w:rsid w:val="00415D25"/>
    <w:rsid w:val="004D26DB"/>
    <w:rsid w:val="0056003D"/>
    <w:rsid w:val="006B404F"/>
    <w:rsid w:val="006D223F"/>
    <w:rsid w:val="00787D52"/>
    <w:rsid w:val="009878D8"/>
    <w:rsid w:val="00BE4EEE"/>
    <w:rsid w:val="00D06C42"/>
    <w:rsid w:val="00E00A53"/>
    <w:rsid w:val="00E56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8F3D61-FBBF-4CBD-A77F-5CDCB9C8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F02"/>
  </w:style>
  <w:style w:type="paragraph" w:styleId="Footer">
    <w:name w:val="footer"/>
    <w:basedOn w:val="Normal"/>
    <w:link w:val="FooterChar"/>
    <w:uiPriority w:val="99"/>
    <w:unhideWhenUsed/>
    <w:rsid w:val="002C5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804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3</cp:revision>
  <dcterms:created xsi:type="dcterms:W3CDTF">2020-11-02T02:23:00Z</dcterms:created>
  <dcterms:modified xsi:type="dcterms:W3CDTF">2020-11-02T02:25:00Z</dcterms:modified>
</cp:coreProperties>
</file>